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Визуальные знаки "Направления движения диагональная стрелка" ГОСТ Р 521131, 200х200мм ПВХ 3мм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https://dostupnaya-strana.ru/products/vizualnye-znaki-napravleniya-dvizheniya-diagonalnaya-strelka-gost-r-521131-pvkh-3mm?size=740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Визуальные знаки "Направления движения диагональная стрелка"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Плоскостные визуальные знаки, предназначенные для восприятия всеми категориями граждан, кроме инвалидов по зрению, выполненные в форме квадрата.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190х190 не более 210х210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двухстороннем скотче или на саморезах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таблички, включая боковые срезы: белый, синий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vizualnye-znaki-napravleniya-dvizheniya-diagonalnaya-strelka-gost-r-521131-pvkh-3mm?size=74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nluWHoEtka+mo9x3kcZGWTo4Q==">CgMxLjA4AHIhMV9pb2FLRnZpeUpQNmhLSXREMFRGTmxfcTVkRVE4TWNv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