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Тактильно-визуальный знак "Туалет для инвалидов" 200х250 ПВХ 3мм ГОСТ Р 521131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https://dostupnaya-strana.ru/products/taktilno-vizualnyi-znak-tualet-dlya-invalidov-gost-r-521131-pvkh-3mm?size=725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Тактильно-визуальный знак "Туалет для инвалидов"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Тактильно-визуальные знаки предназначены для тактильного восприятия инвалидами по зрению и одновременно для визуального восприятия слабовидящими и всеми остальными категориями граждан.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пиктограммы, мм: не менее 195х245 не более 205х255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рельефа рамки и знака, мм: не менее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тактильной зоны со шрифтом Брайля, мм: не менее 50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Высота тактильных точек, мм: не менее 0,7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желтый, черный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 таблички: ПВХ или эквивалент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Крепление: на двухстороннем скотче или на саморезах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Надписи и пиктограмма: рельефные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Дублирование надписи шрифтом Брайля: наличие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Тактильный рельеф: краска УФ-отверждаемая UF ink LH-100 или эквивалент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Закругленные края: наличие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taktilno-vizualnyi-znak-tualet-dlya-invalidov-gost-r-521131-pvkh-3mm?size=72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2Clm2QnnknIj39DMpS5L6Mc7g==">CgMxLjA4AHIhMWtyYnNzR1BzdFluNEF4d1FxcWtSbkVwQUdYREtJQVpS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