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Тактильно-визуальный знак "Туалет для одного посетителя" 150х200 ПВХ 3мм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https://dostupnaya-strana.ru/products/taktilno-vizualnyi-znak-tualet-dlya-odnogo-posetitelya-gost-r-521131-pvkh-3mm?size=33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Тактильно-визуальный знак "Туалет для одного посетителя"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Тактильно-визуальные знаки предназначены для тактильного восприятия инвалидами по зрению и одновременно для визуального восприятия слабовидящими и всеми остальными категориями граждан.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пиктограммы, мм: не менее 145х195 не более 155х205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ПВХ или эквивалент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o-vizualnyi-znak-tualet-dlya-odnogo-posetitelya-gost-r-521131-pvkh-3mm?size=3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UsTxXcFW9XpiMb8Zp01bHPVo+w==">CgMxLjA4AHIhMW5USGVNZXZrNU1YbUtEVk5DV0VwOEFoSVl2TWo5RWEz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