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Тактильно-визуальный знак "Доступность для инвалидов по зрению" 200х250 мм ГОСТ Р 521131, ПВХ 3мм</w:t>
      </w:r>
      <w:r w:rsidDel="00000000" w:rsidR="00000000" w:rsidRPr="00000000">
        <w:rPr>
          <w:sz w:val="33"/>
          <w:szCs w:val="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https://dostupnaya-strana.ru/products/taktilno-vizualnyi-znak-dostupnost-dlya-invalidov-po-zreniiu-gost-r-521131-pvkh-3mm?size=725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Тактильно-визуальный знак "Доступность для инвалидов по зрению"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Тактильно-визуальные знаки предназначены для тактильного восприятия инвалидами по зрению и одновременно для визуального восприятия слабовидящими и всеми остальными категориями граждан.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пиктограммы, мм: не менее 195х245 не более 205х255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рельефа рамки и знака, мм: не менее 2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тактильной зоны со шрифтом Брайля, мм: не менее 50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тактильных точек, мм: не менее 0,7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Цвет: желтый, черный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 таблички: ПВХ или эквивалент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на двухстороннем скотче или на саморезах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Надписи и пиктограмма: рельефные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Дублирование надписи шрифтом Брайля: наличие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Тактильный рельеф: краска УФ-отверждаемая UF ink LH-100 или эквивалент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Закругленные края: наличие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Изображение согласно выбранному макету: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taktilno-vizualnyi-znak-dostupnost-dlya-invalidov-po-zreniiu-gost-r-521131-pvkh-3mm?size=725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laHB5XQAmg9qBemE7D9jboRIQ==">CgMxLjA4AHIhMXFpNG41OVc4Y1pXRlpFWUh0Y3pfdkxZc1RFdWJKUFRa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