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"Доступность для инвалидов, передвигающихся на креслах-колясках" 200х200 ПВХ 3 мм Г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https://dostupnaya-strana.ru/products/vizualnyi-znak-dostupnost-dlya-invalidov-peredvigaiuschikhsya-na-kreslakh-kolyaskakh-gost-r-521131-pvkh-3mm?size=237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"Доступность для инвалидов, передвигающихся на креслах-колясках"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190х190 не более 210х210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i-znak-dostupnost-dlya-invalidov-peredvigaiuschikhsya-na-kreslakh-kolyaskakh-gost-r-521131-pvkh-3mm?size=23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qr7F7EE6FbGrZoCTs1qVDMXT5g==">CgMxLjA4AHIhMUtGSHFxT25icU9mVnNzQ20tejdCdUk4dlM4dFdnWXA2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