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Визуальный знак "Доступность для инвалидов, передвигающихся на креслах-колясках" 150х150 ПВХ 3 мм Г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https://dostupnaya-strana.ru/products/vizualnyi-znak-dostupnost-dlya-invalidov-peredvigaiuschikhsya-na-kreslakh-kolyaskakh-gost-r-521131-pvkh-3mm?size=235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Визуальный знак "Доступность для инвалидов, передвигающихся на креслах-колясках"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145х145 не более 155х155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ПВХ или эквивалент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i-znak-dostupnost-dlya-invalidov-peredvigaiuschikhsya-na-kreslakh-kolyaskakh-gost-r-521131-pvkh-3mm?size=235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dt8a+6jY6dtFY646lHXedYnpCA==">CgMxLjA4AHIhMUY1Y0tjMWo2RTJ5c0tOQXdDNjFVcXNhdFViWnRiWnJ6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