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Табло световое свободно/занято с датчиком движения 340х140х20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https://dostupnaya-strana.ru/products/tablo-svetovoe-svobodno-zanyato-s-datichkom-dvizhenie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Табло световое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Табло световое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Блок активации табло: наличие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Световое табло с постоянным содержанием - "занято" и "свободно": наличие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Датчик движения: наличие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Датчик определяет наличие движения объекта в контролируемой зоне: наличие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Кабель питания, м: не менее 1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Габаритные размеры (без блока управления), мм: не менее 340х140х20 не более 350х150х30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изготовления: алюминиевый профиль, пластик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Напряжение питания, В: 220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Потребляемая мощность, Вт: не более 6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Расстояние обнаружения, м: не более 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tablo-svetovoe-svobodno-zanyato-s-datichkom-dvizhenie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4Hq/d1qaELyzZsBhka9FTg8luA==">CgMxLjA4AHIhMTZ0cGM4a0F1VDAtTE5ZQkdlbEd6NFVqUG92cXB5QTJh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