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Универсальная система вызова персонала инвалидов для входа и санузла APE510.3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https://dostupnaya-strana.ru/products/universalnaya-sistema-vyzova-personala-iz-neskolkikh-mesn-ape510-3?size=254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Универсальная система вызова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Беспроводная кнопка вызова персонала предназначена для вызова помощи в общественных местах маломобильными группами населения.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Кнопка вызова, шт: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Приемник: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Блок питания: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Тактильная пиктограмма, шт: не менее 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Репитер: наличие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Паспорт устройства: наличие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Упаковка: наличии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 вызова: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82х65х28 не более 85х70х30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корпус, красная кнопка,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«ВЫЗОВ» русскими буквами на поверхности кнопки: наличие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батарея 12V, 23A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 нажатий: не менее 1 млн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более 200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работы, градус С: от -35 до +55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Приемник: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202x130x30 не более 210х135х35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черный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от сети через адаптер AC220V/50HZDC12V/1A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Входная мощность: АС100V-240V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Продолжительность сигнала, сек: не менее 15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100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подставка или саморезами к стене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Отображение трёх вызовов одновременно: наличие.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Световая и звуковая индикацию: наличие.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Возможность подключения к табло до 99 кнопок: наличие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Репитер: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мм:: не менее 153х82х29 не более 155х85х35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черный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 электропитания: от сети через адаптер AC220V/50HZ-DC12V/1A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МГц: не менее 433.92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100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подставка или саморезами к стене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Способность распознавать сигналы со 100 кнопок: наличие.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Табличка: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Табличка соответствует ГОСТ Р: наличие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Надпись на табличке продублирована шрифтом Брайля: наличие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150х200 не более 155х205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 мм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 полистирол ударопрочный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niversalnaya-sistema-vyzova-personala-iz-neskolkikh-mesn-ape510-3?size=254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beVMog0b587q3372FTfRaR2Ctw==">CgMxLjA4AHIhMWdPRjNJZ256NUZ0enFWODNlWmNVMGhMeXZwV1hJN0gt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