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Кнопка вызова APE301 ( Белый)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https://dostupnaya-strana.ru/products/besprovodnaya-vlagozaschischennaya-knopka-vyzova-ibells-ape301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Кнопка вызова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Беспроводная кнопка вызова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Размер, мм: не менее 60х60х32 не более 70х70х40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Радиус приёма сигнала в открытом пространстве, м: не менее 100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Крепление: саморез или двусторонний скотч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Цвет: белый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Частота, МГц: не менее 433,92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Материал: пластик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Питание: от батарейки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Индикация вызова: световая индикация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besprovodnaya-vlagozaschischennaya-knopka-vyzova-ibells-ape301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3zqJ7zMpUeZNOUXlFBRo0NtXQ==">CgMxLjA4AHIhMTBDZFVrZ2IySXhhc1c2MWJyTzgwY2NWQTd3V2haZzQw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