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highlight w:val="white"/>
          <w:rtl w:val="0"/>
        </w:rPr>
        <w:t xml:space="preserve">Визуальные знаки "Направления движения прямая стрелка" ГОСТ Р 521131, 150х150мм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https://dostupnaya-strana.ru/products/vizualnyi-znak-napravlenie-dvizheniya-gost-r-521131?size=737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Визуальные знаки "Направления движения прямая стрелка"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Плоскостные визуальные знаки, предназначенные для восприятия всеми категориями граждан, кроме инвалидов по зрению, выполненные в форме квадрата.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140х140 не более 160х160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Толщина, мм: не менее 3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рельефа, мм: не менее 0,5 не более 0,9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таблички: ударопрочный тактильный пластик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на двухстороннем скотче или на саморезах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Надписи и пиктограмма: рельефные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Тактильный рельеф: краска УФ-отверждаемая UF ink LH-100 или эквивалент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таблички, включая боковые срезы: белый, синий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Закругленные края: наличие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Изображение согласно выбранному макету: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vizualnyi-znak-napravlenie-dvizheniya-gost-r-521131?size=737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PV8UNNp4bi7U5FHb2znkFZJzdQ==">CgMxLjA4AHIhMVJqenJKeHBRWUw3bzMyNDVfc3JLXzk4SlN5ODZGWW1i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