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"Доступность для инвалидов по зрению" 200х250 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https://dostupnaya-strana.ru/products/taktilno-vizualnyi-znak-dostupnost-dlya-invalidov-po-zreniiu-gost-r-521131-kopiya?size=725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"Доступность для инвалидов по зрению"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195х245 не более 205х255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dostupnost-dlya-invalidov-po-zreniiu-gost-r-521131-kopiya?size=72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l6yh5DkGXwX59doYHJr98Zk3Og==">CgMxLjA4AHIhMVZBQ2xuT0FMZmpTdDRGM19XVXNlRVFBMUFKQUdkQ2dH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