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 по слуху" 200х200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https://dostupnaya-strana.ru/products/vizualnye-znak-dostupnost-dlya-invalidov-po-slukhu-gost-r-521131-kopiya?size=237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 по слуху"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dostupnost-dlya-invalidov-po-slukhu-gost-r-521131-kopiya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yEuJ9+27I7bYKSQodhzx2msoQ==">CgMxLjA4AHIhMUthMTIyaFF2NHg0MzZkRXVsTVd2TnFaQndpUG9raHJF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