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Противоскользящая алюминиевая накладка с 2-мя резиновыми вставками, 1330 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https://dostupnaya-strana.ru/products/aliuminievaya-polosa-s-2-mya-rezinovymi-vstavkami-133-sm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Противоскользящая алюминиевая накладк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Накладка предназначена для использования на ступенях, препятствует скольжению, обеспечивает безопасность передвижения и выступает в роли информатора для слабовидящих 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Вид: накладка с вставками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рабочей поверхности, мм: не менее 65 не более 75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(ШхВ), мм: не менее 65х5 не более 75х6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(Д), мм: не менее 1330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Температурный режим эксплуатации, градус С: от -40 до +60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 к поверхности: саморезы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вставки: синтетический полимер, объединяющий в себе свойства резины и пластика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накладка: алюминий или эквивалент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Количество вставок, шт: не менее 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 вставки: желтый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aliuminievaya-polosa-s-2-mya-rezinovymi-vstavkami-133-s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d73ixps4M/1H+Jf2uvu6dfiLg==">CgMxLjA4AHIhMUNrblJEdVRsRGNQclpsUjVpalhOS2dsMjZ5amZnWDhC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