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Плитка тактильная для помещений (ПВХ, 500х500 мм, продольные полосы)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https://dostupnaya-strana.ru/products/taktilnaya-plitka-dlya-pomeschenii-pvkh-500kh500-mm-prodolnye-polosy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Плитка тактильная для помещений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Конструкция плитки информирует человека с нарушениями зрения о </w:t>
            </w:r>
            <w:r w:rsidDel="00000000" w:rsidR="00000000" w:rsidRPr="00000000">
              <w:rPr>
                <w:highlight w:val="white"/>
                <w:rtl w:val="0"/>
              </w:rPr>
              <w:t xml:space="preserve">преодолимом</w:t>
            </w:r>
            <w:r w:rsidDel="00000000" w:rsidR="00000000" w:rsidRPr="00000000">
              <w:rPr>
                <w:highlight w:val="white"/>
                <w:rtl w:val="0"/>
              </w:rPr>
              <w:t xml:space="preserve"> препятствии на пути следования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Вид: плитка для помещений с тактильными элементами в виде продольные полос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плитка: не менее 470х470 не более 530х530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толщина основания, мм: не менее 1,5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высота рифа, мм: не менее 4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Соответствие ГОСТ Р и СП: наличие.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 к поверхности: полиуретановый клей или эквивалент.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плитки: ПВХ или эквивалент.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Цвет: желтый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Узор плитки: продольные полосы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Стенки предупредительных индикаторов имеют скошенные стороны под углом 45 градусов: наличие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Относительное удлинение до разрыва, %: не менее 200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Температура использования, °С: от -15 до +50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taktilnaya-plitka-dlya-pomeschenii-pvkh-500kh500-mm-prodolnye-polosy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vOXF1NrYVaquYjwiFYbnPMS5nQ==">CgMxLjA4AHIhMXFIZ2I5VHFLUEt5dDZmLXJMWXcxSkZqSGJ1SU5GaEIy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