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Тактильный индикатор D35мм комбинированный на штифте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https://dostupnaya-strana.ru/products/kombinirovannyi-taktilnyi-indikator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Тактильный индикатор комбинированный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Информационный напольный тактильный указатель, предназначенный для ориентирования в пространстве людей с нарушениями зрения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Тип: тактильный напольный указатель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Вид: указатель в форме диска, тактильной вставкой и со штифтом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диаметр диска: не менее 30 не более 40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диаметр тактильной вставки: не менее 20 не более 30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высота общая: не менее 20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высота верхней площадки, мм: не менее 5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высота ножки, мм: не менее 15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толщина ножки, мм: не менее 6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 вставки: желтый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диска: нержавеющая сталь AISI 304 или эквивалент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вставки: полиуретан или эквивалент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 монтажа: сверление штифт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kombinirovannyi-taktilnyi-indikator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zyPHVI9MECUYoEy0TgH6GvD06A==">CgMxLjA4AHIhMWFRS0Npa2VsMnlQa1hacGVJdGJ6RWU3d0lxSFpGc25v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